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60"/>
        <w:tblW w:w="9580" w:type="dxa"/>
        <w:tblLook w:val="04A0" w:firstRow="1" w:lastRow="0" w:firstColumn="1" w:lastColumn="0" w:noHBand="0" w:noVBand="1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2C5CE2" w:rsidRPr="004A42F3" w:rsidRDefault="002C5CE2" w:rsidP="00F4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2C5CE2" w:rsidRPr="004A42F3" w:rsidRDefault="002C5CE2" w:rsidP="00F4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объема свободной для технологического присоединения потребителей трансформаторной мощности 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833" w:type="dxa"/>
            <w:vAlign w:val="center"/>
          </w:tcPr>
          <w:p w:rsidR="002C5CE2" w:rsidRPr="004A42F3" w:rsidRDefault="00557655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2х25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2C5CE2" w:rsidRPr="004A42F3" w:rsidRDefault="002C5CE2" w:rsidP="00F4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резервируемой максимальной мощности в разбивке по уровням напряжения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F47EAF" w:rsidP="00F47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EAF">
        <w:rPr>
          <w:rFonts w:ascii="Times New Roman" w:hAnsi="Times New Roman" w:cs="Times New Roman"/>
          <w:b/>
          <w:sz w:val="24"/>
          <w:szCs w:val="24"/>
        </w:rPr>
        <w:t>Показатели, подлежащие ежемесячному раскрытию в сфере электроэнергетики (сетевы</w:t>
      </w:r>
      <w:bookmarkStart w:id="0" w:name="_GoBack"/>
      <w:bookmarkEnd w:id="0"/>
      <w:r w:rsidRPr="00F47EAF">
        <w:rPr>
          <w:rFonts w:ascii="Times New Roman" w:hAnsi="Times New Roman" w:cs="Times New Roman"/>
          <w:b/>
          <w:sz w:val="24"/>
          <w:szCs w:val="24"/>
        </w:rPr>
        <w:t>е организации) по объектам в Республике Саха (Якутия) – 4 квартал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Неваленный Антон Григорьевич</cp:lastModifiedBy>
  <cp:revision>2</cp:revision>
  <dcterms:created xsi:type="dcterms:W3CDTF">2015-01-15T23:44:00Z</dcterms:created>
  <dcterms:modified xsi:type="dcterms:W3CDTF">2015-01-15T23:44:00Z</dcterms:modified>
</cp:coreProperties>
</file>